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80" w:lineRule="atLeast"/>
        <w:jc w:val="both"/>
      </w:pPr>
    </w:p>
    <w:p>
      <w:pPr>
        <w:spacing w:before="0" w:after="0" w:line="280" w:lineRule="atLeast"/>
        <w:jc w:val="both"/>
      </w:pPr>
      <w:r>
        <w:rPr>
          <w:rStyle w:val="cat-UserDefinedgrp-25rplc-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прекращении производства по делу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13 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Зиннурова Т.И., находящийся по адресу: Ханты-Мансийский АО-Югра, г. Сургут, ул. Гагарина, д. 9,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509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ст. 15</w:t>
      </w:r>
      <w:r>
        <w:rPr>
          <w:rFonts w:ascii="Times New Roman" w:eastAsia="Times New Roman" w:hAnsi="Times New Roman" w:cs="Times New Roman"/>
          <w:sz w:val="28"/>
          <w:szCs w:val="28"/>
        </w:rPr>
        <w:t>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отношении: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Калимуллиной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Лилии </w:t>
      </w:r>
      <w:r>
        <w:rPr>
          <w:rFonts w:ascii="Times New Roman" w:eastAsia="Times New Roman" w:hAnsi="Times New Roman" w:cs="Times New Roman"/>
          <w:sz w:val="28"/>
          <w:szCs w:val="28"/>
        </w:rPr>
        <w:t>Салаватовны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6rplc-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протоколу, об административном правонарушении № </w:t>
      </w:r>
      <w:r>
        <w:rPr>
          <w:rStyle w:val="cat-UserDefinedgrp-27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23.01.2024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Калимулина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директором </w:t>
      </w:r>
      <w:r>
        <w:rPr>
          <w:rStyle w:val="cat-OrganizationNamegrp-22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по адресу: </w:t>
      </w:r>
      <w:r>
        <w:rPr>
          <w:rStyle w:val="cat-UserDefinedgrp-28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представила в ИФНС России по г. Сургуту </w:t>
      </w:r>
      <w:r>
        <w:rPr>
          <w:rFonts w:ascii="Times New Roman" w:eastAsia="Times New Roman" w:hAnsi="Times New Roman" w:cs="Times New Roman"/>
          <w:sz w:val="28"/>
          <w:szCs w:val="28"/>
        </w:rPr>
        <w:t>декларацию НДС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3 </w:t>
      </w:r>
      <w:r>
        <w:rPr>
          <w:rFonts w:ascii="Times New Roman" w:eastAsia="Times New Roman" w:hAnsi="Times New Roman" w:cs="Times New Roman"/>
          <w:sz w:val="28"/>
          <w:szCs w:val="28"/>
        </w:rPr>
        <w:t>квартал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 года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представления которо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позднее 25.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Лицо, 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Калимулина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Л.С.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не явилась предоставила ходатайство о рассмотрении дела в свое отсутствие, так как ухаживает ребенком инвалидом, предоставила </w:t>
      </w:r>
      <w:r>
        <w:rPr>
          <w:rFonts w:ascii="Times New Roman" w:eastAsia="Times New Roman" w:hAnsi="Times New Roman" w:cs="Times New Roman"/>
          <w:sz w:val="28"/>
          <w:szCs w:val="28"/>
        </w:rPr>
        <w:t>ходатайство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прекращении дела об административном правонарушении в связи с тем,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20.04.2020 не является директором </w:t>
      </w:r>
      <w:r>
        <w:rPr>
          <w:rStyle w:val="cat-OrganizationNamegrp-22rplc-23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. Уволена по собственному желанию, что также подтверждается записью в трудовой книжке.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Изучив материалы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пришел к следующим выводам.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Административная ответственность по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ст. 15.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наступает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нарушение установленных законодательством о налогах и сборах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сроков представления налоговой декларации (расчета по страховым взносам) в налоговый орган по месту учета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влечет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наказание в виде предупреждения, а также </w:t>
      </w:r>
      <w:r>
        <w:rPr>
          <w:rFonts w:ascii="Times New Roman" w:eastAsia="Times New Roman" w:hAnsi="Times New Roman" w:cs="Times New Roman"/>
          <w:sz w:val="28"/>
          <w:szCs w:val="28"/>
        </w:rPr>
        <w:t>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пп.4 п.1 ст.23 НК РФ налогоплательщики обязаны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В 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п.7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1.5 КоАП РФ лицо подлежит административной ответственности только за те административные правонарушения, в отношении которых установлена его вина. Лицо, в отношении которого ведется производство по делу об административном правонарушении, считается невиновным, пока его вина не будет доказана в порядке, предусмотренном настоящим Кодексом, и установлена вступившим в законную силу постановлением судьи, органа, должностного лица, рассмотревших дело.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При этом неустранимые сомнения в виновности лица, привлекаемого к административной ответственности, толкуются в пользу этого лица.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 2.1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административным правонарушением признается противоправное, виновное действие (бездействие) физического или юридического лица, за которое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установлена административная ответственность.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статьи 2.4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материалам дела, директором </w:t>
      </w:r>
      <w:r>
        <w:rPr>
          <w:rStyle w:val="cat-OrganizationNamegrp-22rplc-2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Калимуллина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по адресу: </w:t>
      </w:r>
      <w:r>
        <w:rPr>
          <w:rStyle w:val="cat-UserDefinedgrp-29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представила в установленный законом срок в ИФНС России по г. Сургуту </w:t>
      </w:r>
      <w:r>
        <w:rPr>
          <w:rFonts w:ascii="Times New Roman" w:eastAsia="Times New Roman" w:hAnsi="Times New Roman" w:cs="Times New Roman"/>
          <w:sz w:val="28"/>
          <w:szCs w:val="28"/>
        </w:rPr>
        <w:t>декларацию НДС за 3 квартал 2023 года, срок представления которого не позднее 25.10.2023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действия директора </w:t>
      </w:r>
      <w:r>
        <w:rPr>
          <w:rStyle w:val="cat-OrganizationNamegrp-22rplc-33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Калимулин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квалифицированы по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ст. 15.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Вместе с тем согласно представленной трудовой книжки </w:t>
      </w:r>
      <w:r>
        <w:rPr>
          <w:rStyle w:val="cat-UserDefinedgrp-30rplc-3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Калимуллина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Лилия Салаватовна 20.04.2020 уволена из </w:t>
      </w:r>
      <w:r>
        <w:rPr>
          <w:rStyle w:val="cat-OrganizationNamegrp-22rplc-38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инициативе работника (собственное желание) п.3 с.77 ТК РФ на основании Приказа №7 от 20.04.2020.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ст. 24.5 КоАП РФ производство об административном правонарушении не может быть начато, а начатое производство подлежит прекращению в связи с отсутствием события административного правонарушения об административном правонарушении.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2 ст. 29.4 КоАП РФ при наличии обстоятельств, предусмотренных ст. 24.5 КоАП РФ, выносится постановление о прекращении производства по делу об административном правонарушении.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 изложенное, при наличии доказательств подтверждающих, что </w:t>
      </w:r>
      <w:r>
        <w:rPr>
          <w:rFonts w:ascii="Times New Roman" w:eastAsia="Times New Roman" w:hAnsi="Times New Roman" w:cs="Times New Roman"/>
          <w:sz w:val="28"/>
          <w:szCs w:val="28"/>
        </w:rPr>
        <w:t>Калимуллина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Лилия Салаватовна по состоянию на 25.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не являлась </w:t>
      </w:r>
      <w:r>
        <w:rPr>
          <w:rFonts w:ascii="Times New Roman" w:eastAsia="Times New Roman" w:hAnsi="Times New Roman" w:cs="Times New Roman"/>
          <w:sz w:val="28"/>
          <w:szCs w:val="28"/>
        </w:rPr>
        <w:t>субъектом правонарушения, предусмотренного ст. 15.5 КоАП РФ. Дело об административном правонарушении в отношении Калимуллиной Л.С. подлежит прекращению в связи с отсутствием в ее действиях состава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вышеизложенного,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24.5, 29.4, 29.10 Кодекса РФ об административных правонарушениях, суд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Прекратить производство по делу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Калимуллиной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Лилии </w:t>
      </w:r>
      <w:r>
        <w:rPr>
          <w:rFonts w:ascii="Times New Roman" w:eastAsia="Times New Roman" w:hAnsi="Times New Roman" w:cs="Times New Roman"/>
          <w:sz w:val="28"/>
          <w:szCs w:val="28"/>
        </w:rPr>
        <w:t>Салаватовны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связи с отсутствием состава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течение десяти дней со дня вручения или получения копии постановления в Сургутский городской суд Ханты-Мансийского автономного округа-Югры через мировую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Т.И. Зиннурова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Style w:val="cat-UserDefinedgrp-31rplc-45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</w:p>
    <w:sectPr>
      <w:footerReference w:type="default" r:id="rId9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0"/>
        <w:szCs w:val="20"/>
      </w:rPr>
    </w:pPr>
  </w:p>
  <w:p>
    <w:pPr>
      <w:spacing w:before="0" w:after="0"/>
      <w:rPr>
        <w:sz w:val="20"/>
        <w:szCs w:val="20"/>
      </w:rPr>
    </w:pPr>
  </w:p>
  <w:p>
    <w:pPr>
      <w:spacing w:before="0" w:after="0"/>
      <w:rPr>
        <w:sz w:val="20"/>
        <w:szCs w:val="20"/>
      </w:rPr>
    </w:pPr>
  </w:p>
  <w:p>
    <w:pPr>
      <w:spacing w:before="0" w:after="0"/>
      <w:rPr>
        <w:sz w:val="20"/>
        <w:szCs w:val="20"/>
      </w:rPr>
    </w:pPr>
  </w:p>
  <w:p>
    <w:pPr>
      <w:spacing w:before="0" w:after="0"/>
      <w:rPr>
        <w:sz w:val="20"/>
        <w:szCs w:val="20"/>
      </w:rPr>
    </w:pPr>
  </w:p>
  <w:p>
    <w:pPr>
      <w:spacing w:before="0" w:after="0"/>
      <w:rPr>
        <w:sz w:val="20"/>
        <w:szCs w:val="20"/>
      </w:rPr>
    </w:pPr>
  </w:p>
  <w:p>
    <w:pPr>
      <w:spacing w:before="0" w:after="0"/>
      <w:rPr>
        <w:sz w:val="20"/>
        <w:szCs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5rplc-0">
    <w:name w:val="cat-UserDefined grp-25 rplc-0"/>
    <w:basedOn w:val="DefaultParagraphFont"/>
  </w:style>
  <w:style w:type="character" w:customStyle="1" w:styleId="cat-UserDefinedgrp-26rplc-8">
    <w:name w:val="cat-UserDefined grp-26 rplc-8"/>
    <w:basedOn w:val="DefaultParagraphFont"/>
  </w:style>
  <w:style w:type="character" w:customStyle="1" w:styleId="cat-UserDefinedgrp-27rplc-11">
    <w:name w:val="cat-UserDefined grp-27 rplc-11"/>
    <w:basedOn w:val="DefaultParagraphFont"/>
  </w:style>
  <w:style w:type="character" w:customStyle="1" w:styleId="cat-OrganizationNamegrp-22rplc-14">
    <w:name w:val="cat-OrganizationName grp-22 rplc-14"/>
    <w:basedOn w:val="DefaultParagraphFont"/>
  </w:style>
  <w:style w:type="character" w:customStyle="1" w:styleId="cat-UserDefinedgrp-28rplc-15">
    <w:name w:val="cat-UserDefined grp-28 rplc-15"/>
    <w:basedOn w:val="DefaultParagraphFont"/>
  </w:style>
  <w:style w:type="character" w:customStyle="1" w:styleId="cat-OrganizationNamegrp-22rplc-23">
    <w:name w:val="cat-OrganizationName grp-22 rplc-23"/>
    <w:basedOn w:val="DefaultParagraphFont"/>
  </w:style>
  <w:style w:type="character" w:customStyle="1" w:styleId="cat-OrganizationNamegrp-22rplc-25">
    <w:name w:val="cat-OrganizationName grp-22 rplc-25"/>
    <w:basedOn w:val="DefaultParagraphFont"/>
  </w:style>
  <w:style w:type="character" w:customStyle="1" w:styleId="cat-UserDefinedgrp-29rplc-27">
    <w:name w:val="cat-UserDefined grp-29 rplc-27"/>
    <w:basedOn w:val="DefaultParagraphFont"/>
  </w:style>
  <w:style w:type="character" w:customStyle="1" w:styleId="cat-OrganizationNamegrp-22rplc-33">
    <w:name w:val="cat-OrganizationName grp-22 rplc-33"/>
    <w:basedOn w:val="DefaultParagraphFont"/>
  </w:style>
  <w:style w:type="character" w:customStyle="1" w:styleId="cat-UserDefinedgrp-30rplc-35">
    <w:name w:val="cat-UserDefined grp-30 rplc-35"/>
    <w:basedOn w:val="DefaultParagraphFont"/>
  </w:style>
  <w:style w:type="character" w:customStyle="1" w:styleId="cat-OrganizationNamegrp-22rplc-38">
    <w:name w:val="cat-OrganizationName grp-22 rplc-38"/>
    <w:basedOn w:val="DefaultParagraphFont"/>
  </w:style>
  <w:style w:type="character" w:customStyle="1" w:styleId="cat-UserDefinedgrp-31rplc-45">
    <w:name w:val="cat-UserDefined grp-31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document/redirect/12125267/153302" TargetMode="External" /><Relationship Id="rId5" Type="http://schemas.openxmlformats.org/officeDocument/2006/relationships/hyperlink" Target="garantF1://402889058.1000" TargetMode="External" /><Relationship Id="rId6" Type="http://schemas.openxmlformats.org/officeDocument/2006/relationships/hyperlink" Target="http://arbitr.garant.ru/document/redirect/12125267/21" TargetMode="External" /><Relationship Id="rId7" Type="http://schemas.openxmlformats.org/officeDocument/2006/relationships/hyperlink" Target="http://arbitr.garant.ru/document/redirect/12125267/0" TargetMode="External" /><Relationship Id="rId8" Type="http://schemas.openxmlformats.org/officeDocument/2006/relationships/hyperlink" Target="http://arbitr.garant.ru/document/redirect/12125267/24" TargetMode="External" /><Relationship Id="rId9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